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34962" w14:textId="77777777" w:rsidR="00145ADF" w:rsidRDefault="00145ADF" w:rsidP="00145ADF">
      <w:pPr>
        <w:jc w:val="both"/>
      </w:pPr>
    </w:p>
    <w:p w14:paraId="47470CE2" w14:textId="77777777" w:rsidR="001A7FB3" w:rsidRPr="001A7FB3" w:rsidRDefault="001A7FB3" w:rsidP="001A7FB3">
      <w:pPr>
        <w:jc w:val="both"/>
        <w:rPr>
          <w:rFonts w:ascii="Book Antiqua" w:eastAsiaTheme="majorEastAsia" w:hAnsi="Book Antiqua" w:cstheme="majorBidi"/>
          <w:b/>
          <w:color w:val="2F5496" w:themeColor="accent1" w:themeShade="BF"/>
          <w:szCs w:val="32"/>
          <w:u w:val="single"/>
        </w:rPr>
      </w:pPr>
      <w:r w:rsidRPr="001A7FB3">
        <w:rPr>
          <w:rFonts w:ascii="Book Antiqua" w:eastAsiaTheme="majorEastAsia" w:hAnsi="Book Antiqua" w:cstheme="majorBidi"/>
          <w:b/>
          <w:color w:val="2F5496" w:themeColor="accent1" w:themeShade="BF"/>
          <w:szCs w:val="32"/>
        </w:rPr>
        <w:t>TERMO INDIVIDUAL DE COMPROMISSO DE DEVOLUÇÃO DE CONTAINERS PROVENIENTES DE TRANSPORTE UNIMODAL</w:t>
      </w:r>
    </w:p>
    <w:p w14:paraId="60690B7C" w14:textId="77777777" w:rsidR="00145ADF" w:rsidRDefault="00145ADF" w:rsidP="00145ADF">
      <w:pPr>
        <w:jc w:val="both"/>
      </w:pPr>
    </w:p>
    <w:p w14:paraId="2B526EC1" w14:textId="0224BCEA" w:rsidR="00290CE5" w:rsidRPr="00290CE5" w:rsidRDefault="001A7FB3" w:rsidP="00290CE5">
      <w:pPr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À</w:t>
      </w:r>
    </w:p>
    <w:p w14:paraId="146FB630" w14:textId="2757DD44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>THREE LOGISTICS INTERNACIONAL</w:t>
      </w:r>
      <w:r>
        <w:rPr>
          <w:rFonts w:ascii="Book Antiqua" w:hAnsi="Book Antiqua"/>
          <w:b/>
          <w:i/>
        </w:rPr>
        <w:t xml:space="preserve"> LTDA</w:t>
      </w:r>
    </w:p>
    <w:p w14:paraId="04B8593F" w14:textId="383740D8" w:rsid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Endereço: Rua Amador Bueno, 181 – 4° Andar – Sala </w:t>
      </w:r>
      <w:r w:rsidR="00C614E8">
        <w:rPr>
          <w:rFonts w:ascii="Book Antiqua" w:hAnsi="Book Antiqua"/>
          <w:b/>
          <w:i/>
        </w:rPr>
        <w:t>46</w:t>
      </w:r>
      <w:r w:rsidRPr="00290CE5">
        <w:rPr>
          <w:rFonts w:ascii="Book Antiqua" w:hAnsi="Book Antiqua"/>
          <w:b/>
          <w:i/>
        </w:rPr>
        <w:t xml:space="preserve"> – CEP: 11013-</w:t>
      </w:r>
      <w:r w:rsidR="00C614E8">
        <w:rPr>
          <w:rFonts w:ascii="Book Antiqua" w:hAnsi="Book Antiqua"/>
          <w:b/>
          <w:i/>
        </w:rPr>
        <w:t>151</w:t>
      </w:r>
    </w:p>
    <w:p w14:paraId="333069DF" w14:textId="70D0519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Santos – São Paulo </w:t>
      </w:r>
    </w:p>
    <w:p w14:paraId="635A67C0" w14:textId="77777777" w:rsidR="00290CE5" w:rsidRPr="00290CE5" w:rsidRDefault="00290CE5" w:rsidP="00290CE5">
      <w:pPr>
        <w:rPr>
          <w:rFonts w:ascii="Book Antiqua" w:hAnsi="Book Antiqua"/>
          <w:b/>
          <w:i/>
        </w:rPr>
      </w:pPr>
    </w:p>
    <w:p w14:paraId="1E4B257E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  <w:u w:val="single"/>
        </w:rPr>
        <w:t>DESCRIÇÃO DO EMBARQUE</w:t>
      </w:r>
      <w:r w:rsidRPr="00290CE5">
        <w:rPr>
          <w:rFonts w:ascii="Book Antiqua" w:hAnsi="Book Antiqua"/>
          <w:b/>
          <w:i/>
        </w:rPr>
        <w:t>:</w:t>
      </w:r>
    </w:p>
    <w:p w14:paraId="43EA0619" w14:textId="77777777" w:rsidR="00290CE5" w:rsidRPr="00290CE5" w:rsidRDefault="00290CE5" w:rsidP="00290CE5">
      <w:pPr>
        <w:rPr>
          <w:rFonts w:ascii="Book Antiqua" w:hAnsi="Book Antiqua"/>
          <w:b/>
          <w:i/>
        </w:rPr>
      </w:pPr>
    </w:p>
    <w:p w14:paraId="03F8D72F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CONHECIMENTO (B/L) Nº: </w:t>
      </w:r>
    </w:p>
    <w:p w14:paraId="7C63E157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CONSIGNATÁRIO: </w:t>
      </w:r>
    </w:p>
    <w:p w14:paraId="1EC8BA72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PORTO DE ORIGEM: </w:t>
      </w:r>
    </w:p>
    <w:p w14:paraId="15A57A5D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NAVIO:  VG:  ENTRADA: </w:t>
      </w:r>
    </w:p>
    <w:p w14:paraId="0853F830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CONTAINER(S)/MAFI(S) Nº: </w:t>
      </w:r>
    </w:p>
    <w:p w14:paraId="1864F7F9" w14:textId="77777777" w:rsidR="00290CE5" w:rsidRPr="00290CE5" w:rsidRDefault="00290CE5" w:rsidP="00290CE5">
      <w:pPr>
        <w:rPr>
          <w:rFonts w:ascii="Book Antiqua" w:hAnsi="Book Antiqua"/>
          <w:b/>
          <w:i/>
        </w:rPr>
      </w:pPr>
      <w:r w:rsidRPr="00290CE5">
        <w:rPr>
          <w:rFonts w:ascii="Book Antiqua" w:hAnsi="Book Antiqua"/>
          <w:b/>
          <w:i/>
        </w:rPr>
        <w:t xml:space="preserve">PORTO DE DESCARGA:                                                                                                                     </w:t>
      </w:r>
    </w:p>
    <w:p w14:paraId="7489B736" w14:textId="77777777" w:rsidR="00290CE5" w:rsidRPr="00290CE5" w:rsidRDefault="00290CE5" w:rsidP="00290CE5">
      <w:pPr>
        <w:rPr>
          <w:rFonts w:ascii="Book Antiqua" w:hAnsi="Book Antiqua"/>
          <w:b/>
          <w:i/>
        </w:rPr>
      </w:pPr>
    </w:p>
    <w:p w14:paraId="23AC1EC1" w14:textId="2887A961" w:rsidR="001A7FB3" w:rsidRDefault="00290CE5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290CE5">
        <w:rPr>
          <w:rFonts w:ascii="Book Antiqua" w:hAnsi="Book Antiqua"/>
          <w:b/>
          <w:i/>
        </w:rPr>
        <w:tab/>
      </w:r>
      <w:r w:rsidRPr="00290CE5">
        <w:rPr>
          <w:rFonts w:ascii="Book Antiqua" w:hAnsi="Book Antiqua"/>
          <w:b/>
          <w:i/>
        </w:rPr>
        <w:tab/>
      </w:r>
      <w:r w:rsidR="001A7FB3"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Na qualidade de IMPORTADOR/CONSIGNATÁRIO E OU NOTIFY da carga acondicionada nos containers que ora recebo da </w:t>
      </w:r>
      <w:r w:rsidR="001A7FB3"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="001A7FB3" w:rsidRPr="001A7FB3">
        <w:rPr>
          <w:rFonts w:ascii="Times New Roman" w:hAnsi="Times New Roman" w:cs="Times New Roman"/>
          <w:bCs/>
          <w:iCs/>
          <w:sz w:val="20"/>
          <w:szCs w:val="20"/>
        </w:rPr>
        <w:t>, a quem reconhecemos como parte legítima ativa para exigir a devolução dos cofres e para efetuar a cobrança extrajudicial ou judicial das obrigações deste contrato.</w:t>
      </w:r>
    </w:p>
    <w:p w14:paraId="18FC1A12" w14:textId="77777777" w:rsidR="001A7FB3" w:rsidRPr="001A7FB3" w:rsidRDefault="001A7FB3" w:rsidP="001A7FB3">
      <w:pPr>
        <w:pStyle w:val="Corpodetexto2"/>
        <w:spacing w:before="100" w:beforeAutospacing="1" w:after="100" w:afterAutospacing="1"/>
        <w:rPr>
          <w:b/>
          <w:bCs/>
          <w:sz w:val="20"/>
        </w:rPr>
      </w:pPr>
      <w:r w:rsidRPr="001A7FB3">
        <w:rPr>
          <w:sz w:val="20"/>
        </w:rPr>
        <w:t xml:space="preserve">     </w:t>
      </w:r>
      <w:r w:rsidRPr="001A7FB3">
        <w:rPr>
          <w:b/>
          <w:bCs/>
          <w:sz w:val="20"/>
        </w:rPr>
        <w:t xml:space="preserve">Container nº.                          Tipo           </w:t>
      </w:r>
    </w:p>
    <w:tbl>
      <w:tblPr>
        <w:tblW w:w="22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4"/>
        <w:gridCol w:w="1463"/>
      </w:tblGrid>
      <w:tr w:rsidR="001A7FB3" w:rsidRPr="00F82766" w14:paraId="4F93AC37" w14:textId="77777777" w:rsidTr="00A4163A">
        <w:tc>
          <w:tcPr>
            <w:tcW w:w="3088" w:type="pct"/>
          </w:tcPr>
          <w:p w14:paraId="1A80F34B" w14:textId="77777777" w:rsidR="001A7FB3" w:rsidRPr="00B34D24" w:rsidRDefault="001A7FB3" w:rsidP="00A4163A">
            <w:pPr>
              <w:pStyle w:val="Corpodetexto2"/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B34D24">
              <w:rPr>
                <w:rFonts w:ascii="Arial" w:hAnsi="Arial" w:cs="Arial"/>
                <w:b/>
                <w:sz w:val="20"/>
                <w:lang w:val="en-US"/>
              </w:rPr>
              <w:t>(                                 )</w:t>
            </w:r>
          </w:p>
        </w:tc>
        <w:tc>
          <w:tcPr>
            <w:tcW w:w="1912" w:type="pct"/>
          </w:tcPr>
          <w:p w14:paraId="5443B206" w14:textId="77777777" w:rsidR="001A7FB3" w:rsidRDefault="001A7FB3" w:rsidP="00A4163A">
            <w:pPr>
              <w:pStyle w:val="Corpodetexto2"/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B34D24">
              <w:rPr>
                <w:rFonts w:ascii="Arial" w:hAnsi="Arial" w:cs="Arial"/>
                <w:b/>
                <w:sz w:val="20"/>
                <w:lang w:val="en-US"/>
              </w:rPr>
              <w:t>(                   )</w:t>
            </w:r>
          </w:p>
          <w:p w14:paraId="6002340C" w14:textId="77777777" w:rsidR="001A7FB3" w:rsidRPr="00B34D24" w:rsidRDefault="001A7FB3" w:rsidP="00A4163A">
            <w:pPr>
              <w:pStyle w:val="Corpodetexto2"/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</w:p>
        </w:tc>
      </w:tr>
    </w:tbl>
    <w:p w14:paraId="49E2B30F" w14:textId="77777777" w:rsid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1C556F07" w14:textId="14913318" w:rsid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A7FB3">
        <w:rPr>
          <w:rFonts w:ascii="Times New Roman" w:hAnsi="Times New Roman" w:cs="Times New Roman"/>
          <w:bCs/>
          <w:iCs/>
          <w:sz w:val="20"/>
          <w:szCs w:val="20"/>
        </w:rPr>
        <w:t>Declaramos ciência e concordâncias que a posse provisória dos equipamentos que passa a contar do dia seguinte da descarga do navio - transporte unimodal -, e assumimos, solidariamente, o compromisso de devolvê-lo(s) (s) limpo (s), sem quaisquer avarias e em condições de receber nova(s) carga(s) diretamente ao terminal do armador e assumindo a obrigação do pagamento das diárias de estadias (demurrages) em conformidade com os valores discriminados para cada período e conforme o tipo de container abaixo especificados na tabela a seguir:</w:t>
      </w:r>
    </w:p>
    <w:p w14:paraId="45C2346F" w14:textId="77777777" w:rsid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46AAF47E" w14:textId="77777777" w:rsid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27727172" w14:textId="77777777" w:rsidR="001A7FB3" w:rsidRPr="00290CE5" w:rsidRDefault="001A7FB3" w:rsidP="001A7FB3">
      <w:pPr>
        <w:rPr>
          <w:rFonts w:ascii="Times New Roman" w:hAnsi="Times New Roman" w:cs="Times New Roman"/>
          <w:bCs/>
          <w:iCs/>
          <w:sz w:val="20"/>
          <w:szCs w:val="20"/>
          <w:u w:val="single"/>
        </w:rPr>
      </w:pPr>
      <w:r w:rsidRPr="00290CE5">
        <w:rPr>
          <w:rFonts w:ascii="Times New Roman" w:hAnsi="Times New Roman" w:cs="Times New Roman"/>
          <w:bCs/>
          <w:iCs/>
          <w:sz w:val="20"/>
          <w:szCs w:val="20"/>
        </w:rPr>
        <w:tab/>
      </w:r>
      <w:r w:rsidRPr="00290CE5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TARIFA DE SOBREESTADIAS DE CONTAINERS </w:t>
      </w:r>
    </w:p>
    <w:p w14:paraId="6C76FCED" w14:textId="77777777" w:rsidR="001A7FB3" w:rsidRPr="00290CE5" w:rsidRDefault="001A7FB3" w:rsidP="001A7FB3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290CE5">
        <w:rPr>
          <w:rFonts w:ascii="Times New Roman" w:hAnsi="Times New Roman" w:cs="Times New Roman"/>
          <w:bCs/>
          <w:iCs/>
          <w:sz w:val="20"/>
          <w:szCs w:val="20"/>
        </w:rPr>
        <w:t>VALORES EXPRESSOS EM USD POR CADA DIA ULTRAPASSADO</w:t>
      </w:r>
    </w:p>
    <w:tbl>
      <w:tblPr>
        <w:tblW w:w="10436" w:type="dxa"/>
        <w:tblInd w:w="-99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105"/>
        <w:gridCol w:w="613"/>
        <w:gridCol w:w="613"/>
        <w:gridCol w:w="766"/>
        <w:gridCol w:w="614"/>
        <w:gridCol w:w="766"/>
        <w:gridCol w:w="768"/>
        <w:gridCol w:w="614"/>
        <w:gridCol w:w="614"/>
        <w:gridCol w:w="766"/>
        <w:gridCol w:w="614"/>
        <w:gridCol w:w="614"/>
        <w:gridCol w:w="614"/>
        <w:gridCol w:w="1355"/>
      </w:tblGrid>
      <w:tr w:rsidR="001A7FB3" w:rsidRPr="00290CE5" w14:paraId="50AC95A0" w14:textId="77777777" w:rsidTr="00A4163A">
        <w:trPr>
          <w:trHeight w:val="249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2BD1FA1F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PERIODO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31755200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B O X</w:t>
            </w:r>
          </w:p>
        </w:tc>
        <w:tc>
          <w:tcPr>
            <w:tcW w:w="61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CD7A290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8462F9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FR / OT</w:t>
            </w:r>
          </w:p>
        </w:tc>
        <w:tc>
          <w:tcPr>
            <w:tcW w:w="15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CD5E39E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HIGH CUB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489F34D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  <w:lang w:val="en-US"/>
              </w:rPr>
              <w:t>M A F I</w:t>
            </w:r>
          </w:p>
        </w:tc>
        <w:tc>
          <w:tcPr>
            <w:tcW w:w="13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B478EB6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NOR</w:t>
            </w:r>
          </w:p>
        </w:tc>
        <w:tc>
          <w:tcPr>
            <w:tcW w:w="12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3ACFBB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REEFER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62401D30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PERIODO</w:t>
            </w:r>
          </w:p>
        </w:tc>
      </w:tr>
      <w:tr w:rsidR="001A7FB3" w:rsidRPr="00290CE5" w14:paraId="13564728" w14:textId="77777777" w:rsidTr="00A4163A">
        <w:trPr>
          <w:trHeight w:val="263"/>
        </w:trPr>
        <w:tc>
          <w:tcPr>
            <w:tcW w:w="1105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7F4F724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EM DIAS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5BB9D5A7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20'</w:t>
            </w:r>
          </w:p>
        </w:tc>
        <w:tc>
          <w:tcPr>
            <w:tcW w:w="613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3463CA4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40'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3891124E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20'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3078130E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40'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097FCCF7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20'</w:t>
            </w:r>
          </w:p>
        </w:tc>
        <w:tc>
          <w:tcPr>
            <w:tcW w:w="768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06E6E126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40'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25811DF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20'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7B27226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40'</w:t>
            </w:r>
          </w:p>
        </w:tc>
        <w:tc>
          <w:tcPr>
            <w:tcW w:w="766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3D2095A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20´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6BBD8A99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40´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6" w:space="0" w:color="auto"/>
            </w:tcBorders>
            <w:hideMark/>
          </w:tcPr>
          <w:p w14:paraId="617B05AB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20'</w:t>
            </w:r>
          </w:p>
        </w:tc>
        <w:tc>
          <w:tcPr>
            <w:tcW w:w="614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7955526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40'</w:t>
            </w:r>
          </w:p>
        </w:tc>
        <w:tc>
          <w:tcPr>
            <w:tcW w:w="1355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hideMark/>
          </w:tcPr>
          <w:p w14:paraId="46F07F73" w14:textId="77777777" w:rsidR="001A7FB3" w:rsidRPr="00290CE5" w:rsidRDefault="001A7FB3" w:rsidP="00A4163A">
            <w:pP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FREE</w:t>
            </w:r>
          </w:p>
        </w:tc>
      </w:tr>
      <w:tr w:rsidR="001A7FB3" w:rsidRPr="00290CE5" w14:paraId="353D136A" w14:textId="77777777" w:rsidTr="00A4163A">
        <w:trPr>
          <w:trHeight w:val="58"/>
        </w:trPr>
        <w:tc>
          <w:tcPr>
            <w:tcW w:w="1105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FF47DFA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1E5B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3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268E1A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3262F25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AEB8504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ADDD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0FD76D2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6C4177A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C57E3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18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2879DC2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7BBE18A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C8183E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18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2056C357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1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B9098A7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A7FB3" w:rsidRPr="00290CE5" w14:paraId="4861583F" w14:textId="77777777" w:rsidTr="00A4163A">
        <w:trPr>
          <w:trHeight w:val="256"/>
        </w:trPr>
        <w:tc>
          <w:tcPr>
            <w:tcW w:w="1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1E8DB2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1º ao 10º</w:t>
            </w: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EA461" w14:textId="77777777" w:rsidR="001A7FB3" w:rsidRPr="00290CE5" w:rsidRDefault="001A7FB3" w:rsidP="00A4163A">
            <w:pPr>
              <w:jc w:val="center"/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135,00</w:t>
            </w: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64F85B" w14:textId="77777777" w:rsidR="001A7FB3" w:rsidRPr="00290CE5" w:rsidRDefault="001A7FB3" w:rsidP="00A4163A">
            <w:pPr>
              <w:jc w:val="center"/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235,00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880BD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165,00 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8FD003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280,00 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FEDF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135,00 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DD8D8D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 235,00 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C1A3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165,00 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D6681B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280,00 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C64892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215,00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EA9F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400,00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B0175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260,00 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D73BD1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530,00 </w:t>
            </w:r>
          </w:p>
        </w:tc>
        <w:tc>
          <w:tcPr>
            <w:tcW w:w="1355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C2A288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5 dias corridos container Dry e 2 dias p/ container Reefer</w:t>
            </w:r>
          </w:p>
        </w:tc>
      </w:tr>
      <w:tr w:rsidR="001A7FB3" w:rsidRPr="00290CE5" w14:paraId="281648AD" w14:textId="77777777" w:rsidTr="00A4163A">
        <w:trPr>
          <w:trHeight w:val="223"/>
        </w:trPr>
        <w:tc>
          <w:tcPr>
            <w:tcW w:w="11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83523C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11º ao 20º</w:t>
            </w: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F6B079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140,00</w:t>
            </w:r>
          </w:p>
        </w:tc>
        <w:tc>
          <w:tcPr>
            <w:tcW w:w="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CE24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240,00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E1B33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185,00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4C3EF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290,00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D6CD5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140,00</w:t>
            </w:r>
          </w:p>
        </w:tc>
        <w:tc>
          <w:tcPr>
            <w:tcW w:w="7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50C61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240,00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8DFC0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185,00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C7BA0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290,00</w:t>
            </w:r>
          </w:p>
        </w:tc>
        <w:tc>
          <w:tcPr>
            <w:tcW w:w="766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50F8FC7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275,00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0B9949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410,00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04771D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275,00</w:t>
            </w:r>
          </w:p>
        </w:tc>
        <w:tc>
          <w:tcPr>
            <w:tcW w:w="614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675A5518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535,00</w:t>
            </w:r>
          </w:p>
        </w:tc>
        <w:tc>
          <w:tcPr>
            <w:tcW w:w="1355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0F7F7774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1A7FB3" w:rsidRPr="00290CE5" w14:paraId="67F032D4" w14:textId="77777777" w:rsidTr="00A4163A">
        <w:trPr>
          <w:trHeight w:val="292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9EEDCC7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21º diante 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B98A684" w14:textId="77777777" w:rsidR="001A7FB3" w:rsidRPr="00290CE5" w:rsidRDefault="001A7FB3" w:rsidP="00A4163A">
            <w:pPr>
              <w:jc w:val="center"/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145,00</w:t>
            </w:r>
          </w:p>
        </w:tc>
        <w:tc>
          <w:tcPr>
            <w:tcW w:w="6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390945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245,00 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256472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205,00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8B551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300,00 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4C0782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145,00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5C8C9E4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245,00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2F5E421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205,00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E3D9796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300,00 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D27E9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370,00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210E5B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>420,00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30846F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370,00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7558C30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</w:pPr>
            <w:r w:rsidRPr="00290CE5">
              <w:rPr>
                <w:rFonts w:ascii="Times New Roman" w:hAnsi="Times New Roman" w:cs="Times New Roman"/>
                <w:bCs/>
                <w:iCs/>
                <w:color w:val="EE0000"/>
                <w:sz w:val="20"/>
                <w:szCs w:val="20"/>
              </w:rPr>
              <w:t xml:space="preserve">540,00 </w:t>
            </w:r>
          </w:p>
        </w:tc>
        <w:tc>
          <w:tcPr>
            <w:tcW w:w="135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EFDCA4" w14:textId="77777777" w:rsidR="001A7FB3" w:rsidRPr="00290CE5" w:rsidRDefault="001A7FB3" w:rsidP="00A4163A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59BCBB31" w14:textId="77777777" w:rsidR="001A7FB3" w:rsidRPr="00290CE5" w:rsidRDefault="001A7FB3" w:rsidP="001A7FB3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290CE5">
        <w:rPr>
          <w:rFonts w:ascii="Times New Roman" w:hAnsi="Times New Roman" w:cs="Times New Roman"/>
          <w:bCs/>
          <w:iCs/>
          <w:sz w:val="20"/>
          <w:szCs w:val="20"/>
        </w:rPr>
        <w:t>OBS:  OS DIAS RELACIONADOS CORRESPONDEM AOS DIAS DE ATRASO (DESCONTANDO-SE O PERÍODO LIVRE)</w:t>
      </w:r>
    </w:p>
    <w:p w14:paraId="1BFFDA9C" w14:textId="65746C15" w:rsidR="00D9176B" w:rsidRP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O período de isenção de cobrança de estadia </w:t>
      </w:r>
      <w:r w:rsidRPr="001A7FB3">
        <w:rPr>
          <w:rFonts w:ascii="Times New Roman" w:hAnsi="Times New Roman" w:cs="Times New Roman"/>
          <w:bCs/>
          <w:i/>
          <w:iCs/>
          <w:sz w:val="20"/>
          <w:szCs w:val="20"/>
        </w:rPr>
        <w:t>– free time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 – se assim for acordado entre as partes, será discriminado no conhecimento de embarque e a ausência de previsão de free time implica que assim foi negociada</w:t>
      </w:r>
      <w:r w:rsidR="00D9176B">
        <w:rPr>
          <w:rFonts w:ascii="Times New Roman" w:hAnsi="Times New Roman" w:cs="Times New Roman"/>
          <w:bCs/>
          <w:iCs/>
          <w:sz w:val="20"/>
          <w:szCs w:val="20"/>
        </w:rPr>
        <w:t>, e respeitarão os prazos acima acordados.</w:t>
      </w:r>
    </w:p>
    <w:p w14:paraId="133FE515" w14:textId="6D7ED81D" w:rsidR="001A7FB3" w:rsidRP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A7FB3">
        <w:rPr>
          <w:rFonts w:ascii="Times New Roman" w:hAnsi="Times New Roman" w:cs="Times New Roman"/>
          <w:bCs/>
          <w:iCs/>
          <w:sz w:val="20"/>
          <w:szCs w:val="20"/>
        </w:rPr>
        <w:t>O</w:t>
      </w:r>
      <w:r w:rsidR="00D9176B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 pagamento</w:t>
      </w:r>
      <w:r w:rsidR="00D9176B">
        <w:rPr>
          <w:rFonts w:ascii="Times New Roman" w:hAnsi="Times New Roman" w:cs="Times New Roman"/>
          <w:bCs/>
          <w:iCs/>
          <w:sz w:val="20"/>
          <w:szCs w:val="20"/>
        </w:rPr>
        <w:t>s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 dos valores das estadias deverão ser quitados em moeda nacional, utilizando-se a conversão do dólar americano na fórmula PTAX do dia do pagamento + </w:t>
      </w:r>
      <w:r w:rsidR="00D9176B">
        <w:rPr>
          <w:rFonts w:ascii="Times New Roman" w:hAnsi="Times New Roman" w:cs="Times New Roman"/>
          <w:bCs/>
          <w:iCs/>
          <w:sz w:val="20"/>
          <w:szCs w:val="20"/>
        </w:rPr>
        <w:t>3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>%. relativo aos custos financeiros, após, ou durante, a retenção do cofre. Em caso das devoluções em local diverso do contratado estamos cientes, e concordamos com o custo apresentado de reposição e estamos cientes que as cobranças das estadias cessarão quando o container for reposicionado no local correto.</w:t>
      </w:r>
    </w:p>
    <w:p w14:paraId="6EA91AF4" w14:textId="61E70007" w:rsidR="001A7FB3" w:rsidRP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Após a devolução nos obrigamos a enviar 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 cópia(s) da(s) minuta(s) da(s) entrega(s) do(s) container(s) ao terminal receptor ou, se não cumprida esta obrigação, reconheceremos como corretas as datas de devoluções apontadas pela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1A7FB3">
        <w:rPr>
          <w:rFonts w:ascii="Times New Roman" w:hAnsi="Times New Roman" w:cs="Times New Roman"/>
          <w:bCs/>
          <w:iCs/>
          <w:sz w:val="20"/>
          <w:szCs w:val="20"/>
        </w:rPr>
        <w:t xml:space="preserve"> quando das cobranças de possíveis estadias(demurrages). </w:t>
      </w:r>
    </w:p>
    <w:p w14:paraId="74167D39" w14:textId="77777777" w:rsidR="001A7FB3" w:rsidRP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1A7FB3">
        <w:rPr>
          <w:rFonts w:ascii="Times New Roman" w:hAnsi="Times New Roman" w:cs="Times New Roman"/>
          <w:bCs/>
          <w:iCs/>
          <w:sz w:val="20"/>
          <w:szCs w:val="20"/>
        </w:rPr>
        <w:t>Em caso de extravio/perda/desaparecimento de quaisquer dos containers reconhecemos que a cobrança/pagamento das estadias será até a data que fizermos a prova legal do extravio/perda/desaparecimento total dos cofres e o devido pagamento das demurrages e do valor do container fixados para cada tipo de container na planilha abaixo e acrescidos os custos da nacionalização do container:</w:t>
      </w:r>
    </w:p>
    <w:tbl>
      <w:tblPr>
        <w:tblW w:w="8647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701"/>
      </w:tblGrid>
      <w:tr w:rsidR="00D9176B" w:rsidRPr="00DC0D60" w14:paraId="75E5279C" w14:textId="77777777" w:rsidTr="00D9176B">
        <w:trPr>
          <w:trHeight w:val="304"/>
        </w:trPr>
        <w:tc>
          <w:tcPr>
            <w:tcW w:w="6946" w:type="dxa"/>
          </w:tcPr>
          <w:p w14:paraId="1FE9D6EB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  <w:t>Tipo</w:t>
            </w:r>
          </w:p>
        </w:tc>
        <w:tc>
          <w:tcPr>
            <w:tcW w:w="1701" w:type="dxa"/>
          </w:tcPr>
          <w:p w14:paraId="68E6B61B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b/>
                <w:sz w:val="18"/>
                <w:szCs w:val="18"/>
                <w:lang w:val="pt-PT"/>
              </w:rPr>
              <w:t>Reembolso</w:t>
            </w:r>
          </w:p>
        </w:tc>
      </w:tr>
      <w:tr w:rsidR="00D9176B" w:rsidRPr="00DC0D60" w14:paraId="07685F40" w14:textId="77777777" w:rsidTr="00D9176B">
        <w:trPr>
          <w:trHeight w:val="286"/>
        </w:trPr>
        <w:tc>
          <w:tcPr>
            <w:tcW w:w="6946" w:type="dxa"/>
          </w:tcPr>
          <w:p w14:paraId="732D8AE6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20' DRY / HQ / DV / HC / GP / GOH / VENT / ST</w:t>
            </w:r>
          </w:p>
        </w:tc>
        <w:tc>
          <w:tcPr>
            <w:tcW w:w="1701" w:type="dxa"/>
          </w:tcPr>
          <w:p w14:paraId="353683BB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9.000,00</w:t>
            </w:r>
          </w:p>
        </w:tc>
      </w:tr>
      <w:tr w:rsidR="00D9176B" w:rsidRPr="00DC0D60" w14:paraId="3999DDCD" w14:textId="77777777" w:rsidTr="00D9176B">
        <w:trPr>
          <w:trHeight w:val="306"/>
        </w:trPr>
        <w:tc>
          <w:tcPr>
            <w:tcW w:w="6946" w:type="dxa"/>
          </w:tcPr>
          <w:p w14:paraId="4A1AC436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40' DRY / HQ / DV / HC / GP / GOH / VENT / ST</w:t>
            </w:r>
          </w:p>
        </w:tc>
        <w:tc>
          <w:tcPr>
            <w:tcW w:w="1701" w:type="dxa"/>
          </w:tcPr>
          <w:p w14:paraId="7FE61AAA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17.000,00</w:t>
            </w:r>
          </w:p>
        </w:tc>
      </w:tr>
      <w:tr w:rsidR="00D9176B" w:rsidRPr="00DC0D60" w14:paraId="4AF1D115" w14:textId="77777777" w:rsidTr="00D9176B">
        <w:trPr>
          <w:trHeight w:val="325"/>
        </w:trPr>
        <w:tc>
          <w:tcPr>
            <w:tcW w:w="6946" w:type="dxa"/>
          </w:tcPr>
          <w:p w14:paraId="5EDEC67B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20' FR / FT / OT / HARDTOP</w:t>
            </w:r>
          </w:p>
        </w:tc>
        <w:tc>
          <w:tcPr>
            <w:tcW w:w="1701" w:type="dxa"/>
          </w:tcPr>
          <w:p w14:paraId="237141B0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10.000,00</w:t>
            </w:r>
          </w:p>
        </w:tc>
      </w:tr>
      <w:tr w:rsidR="00D9176B" w:rsidRPr="00DC0D60" w14:paraId="1C0F1614" w14:textId="77777777" w:rsidTr="00D9176B">
        <w:trPr>
          <w:trHeight w:val="256"/>
        </w:trPr>
        <w:tc>
          <w:tcPr>
            <w:tcW w:w="6946" w:type="dxa"/>
          </w:tcPr>
          <w:p w14:paraId="39EEEBCB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40' FR / FT / OT / HARDTOP</w:t>
            </w:r>
          </w:p>
        </w:tc>
        <w:tc>
          <w:tcPr>
            <w:tcW w:w="1701" w:type="dxa"/>
          </w:tcPr>
          <w:p w14:paraId="1DD8AA6F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15.000,00</w:t>
            </w:r>
          </w:p>
        </w:tc>
      </w:tr>
      <w:tr w:rsidR="00D9176B" w:rsidRPr="00DC0D60" w14:paraId="1B2CA5F1" w14:textId="77777777" w:rsidTr="00D9176B">
        <w:trPr>
          <w:trHeight w:val="398"/>
        </w:trPr>
        <w:tc>
          <w:tcPr>
            <w:tcW w:w="6946" w:type="dxa"/>
          </w:tcPr>
          <w:p w14:paraId="09CEC81F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20' REF / RF / RE / RFH / RHQ / NOR / RHN / RFN / HCRF / HQRF / HCRE / HQRE</w:t>
            </w:r>
          </w:p>
        </w:tc>
        <w:tc>
          <w:tcPr>
            <w:tcW w:w="1701" w:type="dxa"/>
          </w:tcPr>
          <w:p w14:paraId="5CE01258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22.000,00</w:t>
            </w:r>
          </w:p>
        </w:tc>
      </w:tr>
      <w:tr w:rsidR="00D9176B" w:rsidRPr="00DC0D60" w14:paraId="5746A7B6" w14:textId="77777777" w:rsidTr="00A4163A">
        <w:trPr>
          <w:trHeight w:val="353"/>
        </w:trPr>
        <w:tc>
          <w:tcPr>
            <w:tcW w:w="6946" w:type="dxa"/>
          </w:tcPr>
          <w:p w14:paraId="1AE6DE94" w14:textId="77777777" w:rsidR="00D9176B" w:rsidRPr="00DC0D60" w:rsidRDefault="00D9176B" w:rsidP="00A4163A">
            <w:pPr>
              <w:ind w:firstLine="172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40' REF / RF / RE / RFH / RHQ / NOR / RHN / RFN / HCRF / HQRF / HCRE / HQRE</w:t>
            </w:r>
          </w:p>
        </w:tc>
        <w:tc>
          <w:tcPr>
            <w:tcW w:w="1701" w:type="dxa"/>
          </w:tcPr>
          <w:p w14:paraId="25F586F2" w14:textId="77777777" w:rsidR="00D9176B" w:rsidRPr="00DC0D60" w:rsidRDefault="00D9176B" w:rsidP="00A4163A">
            <w:pPr>
              <w:ind w:firstLine="178"/>
              <w:jc w:val="both"/>
              <w:rPr>
                <w:rFonts w:ascii="Times New Roman" w:hAnsi="Times New Roman" w:cs="Times New Roman"/>
                <w:sz w:val="18"/>
                <w:szCs w:val="18"/>
                <w:lang w:val="pt-PT"/>
              </w:rPr>
            </w:pPr>
            <w:r w:rsidRPr="00DC0D60">
              <w:rPr>
                <w:rFonts w:ascii="Times New Roman" w:hAnsi="Times New Roman" w:cs="Times New Roman"/>
                <w:sz w:val="18"/>
                <w:szCs w:val="18"/>
                <w:lang w:val="pt-PT"/>
              </w:rPr>
              <w:t>USD 32.000,00</w:t>
            </w:r>
          </w:p>
        </w:tc>
      </w:tr>
    </w:tbl>
    <w:p w14:paraId="4C9CDAFE" w14:textId="77777777" w:rsidR="00D9176B" w:rsidRDefault="00D9176B" w:rsidP="00D9176B">
      <w:pPr>
        <w:pStyle w:val="PargrafodaLista"/>
        <w:rPr>
          <w:sz w:val="20"/>
          <w:lang w:val="pt-PT"/>
        </w:rPr>
      </w:pPr>
    </w:p>
    <w:p w14:paraId="441BC3E9" w14:textId="77777777" w:rsidR="001A7FB3" w:rsidRDefault="001A7FB3" w:rsidP="001A7FB3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</w:p>
    <w:p w14:paraId="5B90E27C" w14:textId="50527BB3" w:rsidR="00D9176B" w:rsidRPr="00D9176B" w:rsidRDefault="00D9176B" w:rsidP="00D9176B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Considerando que respondemos solidariamente perante 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pelo pagamento das obrigações, autorizamos a emissão pela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de nota de débito ou cobrança bancária com vencimento predefinidos contra o importador/consignatário/ notify e ou quaisquer terceiros que não sejam estranhos à esta relação jurídica e ficando a critério da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exigir o pagamento parcial das diárias (demurrages) vencidas. </w:t>
      </w:r>
    </w:p>
    <w:p w14:paraId="604D9758" w14:textId="77777777" w:rsidR="00D9176B" w:rsidRPr="00D9176B" w:rsidRDefault="00D9176B" w:rsidP="00D9176B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O não pagamento no vencimento constitui o(s) devedor(s) em mora independente de notificação, com revogação de eventuais descontos, benesses ou benefícios, e autoriza a cobrança de juros legais de 12% a.a. Ficamos cientes e concordamos que em caso de cobrança advocatícia extrajudicial ao total do valor devido serão acrescidos 10% do valor do débito e, se judicialmente, serão acrescidos 20%.</w:t>
      </w:r>
    </w:p>
    <w:p w14:paraId="3D79B9FA" w14:textId="5DFE27E5" w:rsidR="00D9176B" w:rsidRPr="00D9176B" w:rsidRDefault="00D9176B" w:rsidP="00D9176B">
      <w:pPr>
        <w:jc w:val="both"/>
        <w:rPr>
          <w:rFonts w:ascii="Times New Roman" w:hAnsi="Times New Roman" w:cs="Times New Roman"/>
          <w:bCs/>
          <w:iCs/>
          <w:sz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Temos </w:t>
      </w:r>
      <w:r>
        <w:rPr>
          <w:rFonts w:ascii="Times New Roman" w:hAnsi="Times New Roman" w:cs="Times New Roman"/>
          <w:bCs/>
          <w:iCs/>
          <w:sz w:val="20"/>
          <w:szCs w:val="20"/>
        </w:rPr>
        <w:t>c</w:t>
      </w:r>
      <w:r w:rsidRPr="00D9176B">
        <w:rPr>
          <w:rFonts w:ascii="Times New Roman" w:hAnsi="Times New Roman" w:cs="Times New Roman"/>
          <w:bCs/>
          <w:iCs/>
          <w:sz w:val="20"/>
          <w:szCs w:val="20"/>
        </w:rPr>
        <w:t>onhecimento e concordamos que os valores apontados em dólar americano serão transformados em moeda nacional em conformidade com a taxa de câmbio do dólar do dia da cobrança, acrescidos de 3% (três por cento) referentes a</w:t>
      </w:r>
      <w:r w:rsidR="00290CE5"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D9176B">
        <w:rPr>
          <w:rFonts w:ascii="Times New Roman" w:hAnsi="Times New Roman" w:cs="Times New Roman"/>
          <w:bCs/>
          <w:iCs/>
          <w:sz w:val="20"/>
        </w:rPr>
        <w:t xml:space="preserve">despesas operacionais e fica acordado que após o período de 90 (noventa) dias a contar da data da descarga sem que o container(s) tenha(m) sido desovado(s), ou comunicado por escrito o motivo pelo(s) consignatário(s) / importador(es), ficará a critério de conveniência da </w:t>
      </w:r>
      <w:r>
        <w:rPr>
          <w:rFonts w:ascii="Times New Roman" w:hAnsi="Times New Roman" w:cs="Times New Roman"/>
          <w:b/>
          <w:iCs/>
          <w:sz w:val="20"/>
          <w:szCs w:val="20"/>
        </w:rPr>
        <w:t>THREE</w:t>
      </w:r>
      <w:r w:rsidRPr="00D9176B">
        <w:rPr>
          <w:rFonts w:ascii="Times New Roman" w:hAnsi="Times New Roman" w:cs="Times New Roman"/>
          <w:bCs/>
          <w:iCs/>
          <w:sz w:val="20"/>
        </w:rPr>
        <w:t xml:space="preserve"> interpor medidas legais para a sua desova e devolução com todas as despesas oriundas destas providências serão de responsabilidade do(s) consignatário(s) / importador(es)/ notify ou terceiros solidários;</w:t>
      </w:r>
    </w:p>
    <w:p w14:paraId="01E06F2F" w14:textId="77777777" w:rsidR="00D9176B" w:rsidRPr="00D9176B" w:rsidRDefault="00D9176B" w:rsidP="00D9176B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O presente termo de compromisso de devolução de container poderá ser utilizado e invocado em juízo, tendo validade e eficácia plena e, inclusive, podendo ser assinado digitalmente mediante apresentação de certificado digital emitido por Autoridade Certificadora credenciada.</w:t>
      </w:r>
    </w:p>
    <w:p w14:paraId="14FC38FB" w14:textId="1A161CDE" w:rsidR="00D9176B" w:rsidRDefault="00D9176B" w:rsidP="00D9176B">
      <w:pPr>
        <w:jc w:val="both"/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Fica eleito o foro do Núcleo de Direito Marítimo da Comarca de Santos/SP para ações de cobrança ou dirimir quaisquer dúvidas oriundas deste contrato, em razão da especificidade da matéria.</w:t>
      </w:r>
      <w:r w:rsidR="00290CE5" w:rsidRPr="00290CE5">
        <w:rPr>
          <w:rFonts w:ascii="Times New Roman" w:hAnsi="Times New Roman" w:cs="Times New Roman"/>
          <w:bCs/>
          <w:iCs/>
          <w:sz w:val="20"/>
          <w:szCs w:val="20"/>
        </w:rPr>
        <w:t xml:space="preserve">    </w:t>
      </w:r>
    </w:p>
    <w:p w14:paraId="492626AB" w14:textId="77777777" w:rsidR="00290CE5" w:rsidRPr="00290CE5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14:paraId="57A64C3B" w14:textId="3613196C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Santos, (PREENCHER)</w:t>
      </w:r>
    </w:p>
    <w:p w14:paraId="76BB3EC9" w14:textId="77777777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14:paraId="0864AEF7" w14:textId="3D5D5815" w:rsidR="00290CE5" w:rsidRPr="00D9176B" w:rsidRDefault="00290CE5" w:rsidP="00290CE5">
      <w:pPr>
        <w:rPr>
          <w:rFonts w:ascii="Times New Roman" w:hAnsi="Times New Roman" w:cs="Times New Roman"/>
          <w:b/>
          <w:iCs/>
          <w:sz w:val="20"/>
          <w:szCs w:val="20"/>
        </w:rPr>
      </w:pPr>
      <w:r w:rsidRPr="00D9176B">
        <w:rPr>
          <w:rFonts w:ascii="Times New Roman" w:hAnsi="Times New Roman" w:cs="Times New Roman"/>
          <w:b/>
          <w:iCs/>
          <w:sz w:val="20"/>
          <w:szCs w:val="20"/>
        </w:rPr>
        <w:t xml:space="preserve">CONSIGNATÁRIO:  </w:t>
      </w:r>
    </w:p>
    <w:p w14:paraId="4F7251DF" w14:textId="77777777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</w:p>
    <w:p w14:paraId="6FBBC21C" w14:textId="36A80E9B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(Carimbo do Importador)</w:t>
      </w:r>
    </w:p>
    <w:p w14:paraId="11128DCE" w14:textId="77777777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(Assinatura do Despachante e identificação)</w:t>
      </w:r>
    </w:p>
    <w:p w14:paraId="0FD6E564" w14:textId="77777777" w:rsidR="00290CE5" w:rsidRPr="00D9176B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>(Assinatura da 1ª testemunha e identificação)</w:t>
      </w:r>
    </w:p>
    <w:p w14:paraId="422AE0BB" w14:textId="158B84C2" w:rsidR="00290CE5" w:rsidRPr="00290CE5" w:rsidRDefault="00290CE5" w:rsidP="00290CE5">
      <w:pPr>
        <w:rPr>
          <w:rFonts w:ascii="Times New Roman" w:hAnsi="Times New Roman" w:cs="Times New Roman"/>
          <w:bCs/>
          <w:iCs/>
          <w:sz w:val="20"/>
          <w:szCs w:val="20"/>
        </w:rPr>
      </w:pP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Obs: Apresentar </w:t>
      </w:r>
      <w:r w:rsidR="00D9176B" w:rsidRPr="00D9176B">
        <w:rPr>
          <w:rFonts w:ascii="Times New Roman" w:hAnsi="Times New Roman" w:cs="Times New Roman"/>
          <w:bCs/>
          <w:iCs/>
          <w:sz w:val="20"/>
          <w:szCs w:val="20"/>
        </w:rPr>
        <w:t>cópia</w:t>
      </w:r>
      <w:r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da procuração do Despachante</w:t>
      </w:r>
      <w:r w:rsidR="00D9176B" w:rsidRPr="00D9176B">
        <w:rPr>
          <w:rFonts w:ascii="Times New Roman" w:hAnsi="Times New Roman" w:cs="Times New Roman"/>
          <w:bCs/>
          <w:iCs/>
          <w:sz w:val="20"/>
          <w:szCs w:val="20"/>
        </w:rPr>
        <w:t xml:space="preserve"> e contrato social do consignatário</w:t>
      </w:r>
    </w:p>
    <w:p w14:paraId="2C92F156" w14:textId="6E1C25C8" w:rsidR="00833B7C" w:rsidRPr="00290CE5" w:rsidRDefault="00833B7C" w:rsidP="00833B7C">
      <w:pPr>
        <w:rPr>
          <w:rFonts w:ascii="Times New Roman" w:hAnsi="Times New Roman" w:cs="Times New Roman"/>
          <w:bCs/>
          <w:iCs/>
          <w:sz w:val="20"/>
          <w:szCs w:val="20"/>
        </w:rPr>
      </w:pPr>
    </w:p>
    <w:sectPr w:rsidR="00833B7C" w:rsidRPr="00290CE5" w:rsidSect="000152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2F012" w14:textId="77777777" w:rsidR="00EA243A" w:rsidRDefault="00EA243A" w:rsidP="00AC0A56">
      <w:pPr>
        <w:spacing w:after="0" w:line="240" w:lineRule="auto"/>
      </w:pPr>
      <w:r>
        <w:separator/>
      </w:r>
    </w:p>
  </w:endnote>
  <w:endnote w:type="continuationSeparator" w:id="0">
    <w:p w14:paraId="3E130549" w14:textId="77777777" w:rsidR="00EA243A" w:rsidRDefault="00EA243A" w:rsidP="00AC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1AA5" w14:textId="77777777" w:rsidR="000906FA" w:rsidRDefault="000906F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1307" w:type="dxa"/>
      <w:tblInd w:w="-14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53"/>
      <w:gridCol w:w="4110"/>
      <w:gridCol w:w="3544"/>
    </w:tblGrid>
    <w:tr w:rsidR="00AC0A56" w:rsidRPr="00AC0A56" w14:paraId="6E956036" w14:textId="77777777" w:rsidTr="00015249">
      <w:tc>
        <w:tcPr>
          <w:tcW w:w="3653" w:type="dxa"/>
        </w:tcPr>
        <w:p w14:paraId="0E77F147" w14:textId="5147678B" w:rsidR="00AC0A56" w:rsidRPr="003E1B9D" w:rsidRDefault="00AC0A56" w:rsidP="00AC0A56">
          <w:pPr>
            <w:pStyle w:val="Rodap"/>
            <w:tabs>
              <w:tab w:val="clear" w:pos="8504"/>
            </w:tabs>
            <w:ind w:right="-113"/>
            <w:jc w:val="center"/>
            <w:rPr>
              <w:rFonts w:ascii="Poppins Black" w:hAnsi="Poppins Black" w:cs="Poppins Black"/>
              <w:color w:val="275994"/>
              <w:sz w:val="18"/>
              <w:szCs w:val="18"/>
            </w:rPr>
          </w:pPr>
          <w:r w:rsidRPr="003E1B9D">
            <w:rPr>
              <w:rFonts w:ascii="Poppins Black" w:hAnsi="Poppins Black" w:cs="Poppins Black"/>
              <w:color w:val="275994"/>
              <w:sz w:val="18"/>
              <w:szCs w:val="18"/>
            </w:rPr>
            <w:t>SANTOS</w:t>
          </w:r>
        </w:p>
        <w:p w14:paraId="48E72067" w14:textId="60894DBB" w:rsidR="00AC0A56" w:rsidRPr="003E1B9D" w:rsidRDefault="00AC0A56" w:rsidP="00AC0A56">
          <w:pPr>
            <w:pStyle w:val="Rodap"/>
            <w:tabs>
              <w:tab w:val="clear" w:pos="8504"/>
            </w:tabs>
            <w:ind w:right="-113"/>
            <w:jc w:val="center"/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</w:pPr>
          <w:r w:rsidRPr="003E1B9D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>Rua Amador Bueno, 181 Conj 46</w:t>
          </w:r>
        </w:p>
        <w:p w14:paraId="428A885A" w14:textId="77777777" w:rsidR="00AC0A56" w:rsidRPr="003E1B9D" w:rsidRDefault="00AC0A56" w:rsidP="00AC0A56">
          <w:pPr>
            <w:pStyle w:val="Rodap"/>
            <w:tabs>
              <w:tab w:val="clear" w:pos="8504"/>
            </w:tabs>
            <w:jc w:val="center"/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</w:pPr>
          <w:r w:rsidRPr="003E1B9D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>Centro, Santos/SP</w:t>
          </w:r>
        </w:p>
        <w:p w14:paraId="46DECA05" w14:textId="45AF9A38" w:rsidR="00AC0A56" w:rsidRPr="00AC0A56" w:rsidRDefault="00AC0A56" w:rsidP="00AC0A56">
          <w:pPr>
            <w:pStyle w:val="Rodap"/>
            <w:tabs>
              <w:tab w:val="clear" w:pos="8504"/>
            </w:tabs>
            <w:jc w:val="center"/>
            <w:rPr>
              <w:rFonts w:ascii="Poppins" w:hAnsi="Poppins" w:cs="Poppins"/>
              <w:sz w:val="16"/>
              <w:szCs w:val="16"/>
            </w:rPr>
          </w:pPr>
          <w:r w:rsidRPr="003E1B9D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>(13) 3349-5026 | (13) 3349-9526</w:t>
          </w:r>
        </w:p>
      </w:tc>
      <w:tc>
        <w:tcPr>
          <w:tcW w:w="4110" w:type="dxa"/>
        </w:tcPr>
        <w:p w14:paraId="78514D29" w14:textId="18FD8912" w:rsidR="003E1B9D" w:rsidRDefault="003E1B9D" w:rsidP="00B561F5">
          <w:pPr>
            <w:pStyle w:val="Rodap"/>
            <w:tabs>
              <w:tab w:val="clear" w:pos="8504"/>
            </w:tabs>
            <w:jc w:val="center"/>
            <w:rPr>
              <w:rStyle w:val="Hyperlink"/>
              <w:rFonts w:ascii="Poppins" w:hAnsi="Poppins" w:cs="Poppins"/>
              <w:color w:val="808080" w:themeColor="background1" w:themeShade="80"/>
              <w:sz w:val="18"/>
              <w:szCs w:val="18"/>
              <w:u w:val="none"/>
            </w:rPr>
          </w:pPr>
          <w:hyperlink r:id="rId1" w:history="1">
            <w:r w:rsidRPr="004D6228">
              <w:rPr>
                <w:rStyle w:val="Hyperlink"/>
                <w:rFonts w:ascii="Poppins" w:hAnsi="Poppins" w:cs="Poppins"/>
                <w:color w:val="808080" w:themeColor="background1" w:themeShade="80"/>
                <w:sz w:val="18"/>
                <w:szCs w:val="18"/>
                <w:u w:val="none"/>
              </w:rPr>
              <w:t>THREELOGINTL.COM</w:t>
            </w:r>
          </w:hyperlink>
        </w:p>
        <w:p w14:paraId="3E0CE61C" w14:textId="54093E08" w:rsidR="00B561F5" w:rsidRPr="00B561F5" w:rsidRDefault="00B561F5" w:rsidP="00B561F5">
          <w:pPr>
            <w:pStyle w:val="Rodap"/>
            <w:tabs>
              <w:tab w:val="clear" w:pos="8504"/>
            </w:tabs>
            <w:jc w:val="center"/>
            <w:rPr>
              <w:rFonts w:ascii="Poppins" w:hAnsi="Poppins" w:cs="Poppins"/>
              <w:color w:val="808080" w:themeColor="background1" w:themeShade="80"/>
              <w:sz w:val="18"/>
              <w:szCs w:val="18"/>
            </w:rPr>
          </w:pPr>
          <w:r>
            <w:rPr>
              <w:rFonts w:ascii="Poppins" w:hAnsi="Poppins" w:cs="Poppins"/>
              <w:color w:val="808080" w:themeColor="background1" w:themeShade="80"/>
              <w:sz w:val="18"/>
              <w:szCs w:val="18"/>
            </w:rPr>
            <w:t>comunicado@threelogintl.com</w:t>
          </w:r>
        </w:p>
        <w:p w14:paraId="6BF8FCC7" w14:textId="019DA16F" w:rsidR="00015249" w:rsidRPr="00015249" w:rsidRDefault="00015249" w:rsidP="003E1B9D">
          <w:pPr>
            <w:pStyle w:val="Rodap"/>
            <w:tabs>
              <w:tab w:val="clear" w:pos="8504"/>
            </w:tabs>
            <w:jc w:val="center"/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3544" w:type="dxa"/>
        </w:tcPr>
        <w:p w14:paraId="134EB980" w14:textId="430EFBE4" w:rsidR="00AC0A56" w:rsidRPr="003E1B9D" w:rsidRDefault="003E1B9D" w:rsidP="00AC0A56">
          <w:pPr>
            <w:pStyle w:val="Rodap"/>
            <w:tabs>
              <w:tab w:val="clear" w:pos="8504"/>
            </w:tabs>
            <w:ind w:right="-113"/>
            <w:jc w:val="center"/>
            <w:rPr>
              <w:rFonts w:ascii="Poppins Black" w:hAnsi="Poppins Black" w:cs="Poppins Black"/>
              <w:color w:val="275994"/>
              <w:sz w:val="18"/>
              <w:szCs w:val="18"/>
            </w:rPr>
          </w:pPr>
          <w:r w:rsidRPr="003E1B9D">
            <w:rPr>
              <w:rFonts w:ascii="Poppins Black" w:hAnsi="Poppins Black" w:cs="Poppins Black"/>
              <w:color w:val="275994"/>
              <w:sz w:val="18"/>
              <w:szCs w:val="18"/>
            </w:rPr>
            <w:t>PATOS DE MINAS</w:t>
          </w:r>
        </w:p>
        <w:p w14:paraId="68EE4A8E" w14:textId="6F006B11" w:rsidR="000906FA" w:rsidRDefault="000906FA" w:rsidP="003E1B9D">
          <w:pPr>
            <w:pStyle w:val="Rodap"/>
            <w:jc w:val="center"/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</w:pPr>
          <w:r w:rsidRPr="000906FA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 xml:space="preserve">R. Cônego Getúlio, 1449 - Cônego Getúlio, Patos de Minas </w:t>
          </w:r>
          <w:r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 xml:space="preserve">- MG </w:t>
          </w:r>
        </w:p>
        <w:p w14:paraId="2230E214" w14:textId="5198AB3E" w:rsidR="00AC0A56" w:rsidRPr="00AC0A56" w:rsidRDefault="00AC0A56" w:rsidP="003E1B9D">
          <w:pPr>
            <w:pStyle w:val="Rodap"/>
            <w:jc w:val="center"/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</w:pPr>
          <w:r w:rsidRPr="00AC0A56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>(34) 3062-0476</w:t>
          </w:r>
          <w:r w:rsidRPr="003E1B9D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 xml:space="preserve"> | </w:t>
          </w:r>
          <w:r w:rsidRPr="00AC0A56">
            <w:rPr>
              <w:rFonts w:ascii="Poppins" w:hAnsi="Poppins" w:cs="Poppins"/>
              <w:color w:val="808080" w:themeColor="background1" w:themeShade="80"/>
              <w:sz w:val="16"/>
              <w:szCs w:val="16"/>
            </w:rPr>
            <w:t>(34) 3171-3029</w:t>
          </w:r>
        </w:p>
        <w:p w14:paraId="4A064BC3" w14:textId="5F3217DA" w:rsidR="00AC0A56" w:rsidRPr="00AC0A56" w:rsidRDefault="00AC0A56" w:rsidP="00AC0A56">
          <w:pPr>
            <w:pStyle w:val="Rodap"/>
            <w:tabs>
              <w:tab w:val="clear" w:pos="8504"/>
            </w:tabs>
            <w:jc w:val="center"/>
            <w:rPr>
              <w:sz w:val="16"/>
              <w:szCs w:val="16"/>
            </w:rPr>
          </w:pPr>
        </w:p>
      </w:tc>
    </w:tr>
  </w:tbl>
  <w:p w14:paraId="2429AC8F" w14:textId="5E3E3C2F" w:rsidR="00AC0A56" w:rsidRDefault="004D6228" w:rsidP="00AC0A56">
    <w:pPr>
      <w:pStyle w:val="Rodap"/>
      <w:tabs>
        <w:tab w:val="clear" w:pos="8504"/>
      </w:tabs>
      <w:ind w:right="-127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3F2BA" wp14:editId="18ADCA7F">
              <wp:simplePos x="0" y="0"/>
              <wp:positionH relativeFrom="column">
                <wp:posOffset>-890905</wp:posOffset>
              </wp:positionH>
              <wp:positionV relativeFrom="paragraph">
                <wp:posOffset>-757555</wp:posOffset>
              </wp:positionV>
              <wp:extent cx="7192010" cy="0"/>
              <wp:effectExtent l="17780" t="22860" r="19685" b="15240"/>
              <wp:wrapNone/>
              <wp:docPr id="156003296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192010" cy="0"/>
                      </a:xfrm>
                      <a:prstGeom prst="straightConnector1">
                        <a:avLst/>
                      </a:prstGeom>
                      <a:noFill/>
                      <a:ln w="28575" cmpd="sng">
                        <a:solidFill>
                          <a:srgbClr val="275994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456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0.15pt;margin-top:-59.65pt;width:566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" strokecolor="#275994" strokeweight="2.25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B243" w14:textId="77777777" w:rsidR="000906FA" w:rsidRDefault="000906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5441" w14:textId="77777777" w:rsidR="00EA243A" w:rsidRDefault="00EA243A" w:rsidP="00AC0A56">
      <w:pPr>
        <w:spacing w:after="0" w:line="240" w:lineRule="auto"/>
      </w:pPr>
      <w:r>
        <w:separator/>
      </w:r>
    </w:p>
  </w:footnote>
  <w:footnote w:type="continuationSeparator" w:id="0">
    <w:p w14:paraId="62F54D4D" w14:textId="77777777" w:rsidR="00EA243A" w:rsidRDefault="00EA243A" w:rsidP="00AC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8604F" w14:textId="7A4645EB" w:rsidR="001829F6" w:rsidRDefault="00000000">
    <w:pPr>
      <w:pStyle w:val="Cabealho"/>
    </w:pPr>
    <w:r>
      <w:rPr>
        <w:noProof/>
      </w:rPr>
      <w:pict w14:anchorId="74F54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891" o:spid="_x0000_s1027" type="#_x0000_t75" alt="" style="position:absolute;margin-left:0;margin-top:0;width:424.4pt;height:424.4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hreeLogistics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12BD" w14:textId="48E093E0" w:rsidR="00AC0A56" w:rsidRPr="00AC0A56" w:rsidRDefault="00B53D78" w:rsidP="00AC0A56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95D79B" wp14:editId="4437EB8E">
          <wp:simplePos x="0" y="0"/>
          <wp:positionH relativeFrom="page">
            <wp:align>left</wp:align>
          </wp:positionH>
          <wp:positionV relativeFrom="paragraph">
            <wp:posOffset>-612363</wp:posOffset>
          </wp:positionV>
          <wp:extent cx="7567930" cy="1437005"/>
          <wp:effectExtent l="0" t="0" r="0" b="0"/>
          <wp:wrapThrough wrapText="bothSides">
            <wp:wrapPolygon edited="0">
              <wp:start x="0" y="0"/>
              <wp:lineTo x="0" y="20617"/>
              <wp:lineTo x="7612" y="21190"/>
              <wp:lineTo x="19030" y="21190"/>
              <wp:lineTo x="19084" y="21190"/>
              <wp:lineTo x="20009" y="18326"/>
              <wp:lineTo x="20281" y="18326"/>
              <wp:lineTo x="21096" y="14890"/>
              <wp:lineTo x="21096" y="13745"/>
              <wp:lineTo x="21531" y="10595"/>
              <wp:lineTo x="21531" y="8590"/>
              <wp:lineTo x="21096" y="4582"/>
              <wp:lineTo x="21531" y="3722"/>
              <wp:lineTo x="21531" y="2004"/>
              <wp:lineTo x="21096" y="0"/>
              <wp:lineTo x="0" y="0"/>
            </wp:wrapPolygon>
          </wp:wrapThrough>
          <wp:docPr id="699196773" name="Imagem 4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96773" name="Imagem 4" descr="Uma imagem contendo 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1437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770B09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892" o:spid="_x0000_s1026" type="#_x0000_t75" alt="" style="position:absolute;margin-left:0;margin-top:0;width:424.4pt;height:424.4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ThreeLogistics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B536B" w14:textId="4EABBB9F" w:rsidR="001829F6" w:rsidRDefault="00000000">
    <w:pPr>
      <w:pStyle w:val="Cabealho"/>
    </w:pPr>
    <w:r>
      <w:rPr>
        <w:noProof/>
      </w:rPr>
      <w:pict w14:anchorId="2D4990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1594890" o:spid="_x0000_s1025" type="#_x0000_t75" alt="" style="position:absolute;margin-left:0;margin-top:0;width:424.4pt;height:424.4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hreeLogistics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A4273"/>
    <w:multiLevelType w:val="hybridMultilevel"/>
    <w:tmpl w:val="0B1452C0"/>
    <w:lvl w:ilvl="0" w:tplc="007E290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843"/>
    <w:multiLevelType w:val="multilevel"/>
    <w:tmpl w:val="ECC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C4D7A57"/>
    <w:multiLevelType w:val="multilevel"/>
    <w:tmpl w:val="3D6E0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212CF2"/>
    <w:multiLevelType w:val="multilevel"/>
    <w:tmpl w:val="0AC6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0472917">
    <w:abstractNumId w:val="2"/>
  </w:num>
  <w:num w:numId="2" w16cid:durableId="124391871">
    <w:abstractNumId w:val="0"/>
  </w:num>
  <w:num w:numId="3" w16cid:durableId="365714938">
    <w:abstractNumId w:val="3"/>
  </w:num>
  <w:num w:numId="4" w16cid:durableId="227770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56"/>
    <w:rsid w:val="00015249"/>
    <w:rsid w:val="00040407"/>
    <w:rsid w:val="00040694"/>
    <w:rsid w:val="00052B67"/>
    <w:rsid w:val="000535C6"/>
    <w:rsid w:val="0007672F"/>
    <w:rsid w:val="000906FA"/>
    <w:rsid w:val="00113C19"/>
    <w:rsid w:val="00145ADF"/>
    <w:rsid w:val="001829F6"/>
    <w:rsid w:val="00193A7B"/>
    <w:rsid w:val="001A050E"/>
    <w:rsid w:val="001A7FB3"/>
    <w:rsid w:val="002202B2"/>
    <w:rsid w:val="00290CE5"/>
    <w:rsid w:val="002A710B"/>
    <w:rsid w:val="002C0411"/>
    <w:rsid w:val="0030644C"/>
    <w:rsid w:val="00356B84"/>
    <w:rsid w:val="00361C06"/>
    <w:rsid w:val="0039634A"/>
    <w:rsid w:val="003A144B"/>
    <w:rsid w:val="003A3395"/>
    <w:rsid w:val="003D6EA8"/>
    <w:rsid w:val="003E1B9D"/>
    <w:rsid w:val="003E4DAA"/>
    <w:rsid w:val="004336EB"/>
    <w:rsid w:val="0045338A"/>
    <w:rsid w:val="004856F9"/>
    <w:rsid w:val="0049050B"/>
    <w:rsid w:val="004B3C24"/>
    <w:rsid w:val="004D6228"/>
    <w:rsid w:val="004F2BE9"/>
    <w:rsid w:val="004F5BCD"/>
    <w:rsid w:val="0050676B"/>
    <w:rsid w:val="00541DC4"/>
    <w:rsid w:val="00562218"/>
    <w:rsid w:val="00571E03"/>
    <w:rsid w:val="00595C74"/>
    <w:rsid w:val="005B3179"/>
    <w:rsid w:val="006111E2"/>
    <w:rsid w:val="006879A7"/>
    <w:rsid w:val="00714F7E"/>
    <w:rsid w:val="007414A2"/>
    <w:rsid w:val="00742DF7"/>
    <w:rsid w:val="007B0E06"/>
    <w:rsid w:val="007E627F"/>
    <w:rsid w:val="008042CB"/>
    <w:rsid w:val="00806507"/>
    <w:rsid w:val="008221AD"/>
    <w:rsid w:val="00833B7C"/>
    <w:rsid w:val="008D5D11"/>
    <w:rsid w:val="009067C2"/>
    <w:rsid w:val="009200A1"/>
    <w:rsid w:val="00934328"/>
    <w:rsid w:val="00935ED9"/>
    <w:rsid w:val="009438CB"/>
    <w:rsid w:val="00965918"/>
    <w:rsid w:val="009C54B4"/>
    <w:rsid w:val="00A33049"/>
    <w:rsid w:val="00A63EBA"/>
    <w:rsid w:val="00A847C8"/>
    <w:rsid w:val="00AC0A56"/>
    <w:rsid w:val="00AE59DD"/>
    <w:rsid w:val="00B06CFA"/>
    <w:rsid w:val="00B51A26"/>
    <w:rsid w:val="00B53D78"/>
    <w:rsid w:val="00B561F5"/>
    <w:rsid w:val="00BD473D"/>
    <w:rsid w:val="00C503DC"/>
    <w:rsid w:val="00C56C84"/>
    <w:rsid w:val="00C614E8"/>
    <w:rsid w:val="00C94A4B"/>
    <w:rsid w:val="00C976B7"/>
    <w:rsid w:val="00D433D9"/>
    <w:rsid w:val="00D5450C"/>
    <w:rsid w:val="00D83454"/>
    <w:rsid w:val="00D836F9"/>
    <w:rsid w:val="00D9176B"/>
    <w:rsid w:val="00DF2397"/>
    <w:rsid w:val="00DF25D9"/>
    <w:rsid w:val="00E11A55"/>
    <w:rsid w:val="00E11E2F"/>
    <w:rsid w:val="00E47F25"/>
    <w:rsid w:val="00E83A1D"/>
    <w:rsid w:val="00EA243A"/>
    <w:rsid w:val="00ED032E"/>
    <w:rsid w:val="00F07513"/>
    <w:rsid w:val="00F27809"/>
    <w:rsid w:val="00F326A5"/>
    <w:rsid w:val="00F54723"/>
    <w:rsid w:val="00F74694"/>
    <w:rsid w:val="00F859AD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30D35"/>
  <w15:chartTrackingRefBased/>
  <w15:docId w15:val="{A32B4C4C-93BE-45EC-ADBB-8DC44608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0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C0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A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A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0A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C0A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0A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0A5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0A5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0A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0A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0A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0A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0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0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0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0A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0A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0A5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A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0A5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0A56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nhideWhenUsed/>
    <w:rsid w:val="00AC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C0A56"/>
  </w:style>
  <w:style w:type="paragraph" w:styleId="Rodap">
    <w:name w:val="footer"/>
    <w:basedOn w:val="Normal"/>
    <w:link w:val="RodapChar"/>
    <w:uiPriority w:val="99"/>
    <w:unhideWhenUsed/>
    <w:rsid w:val="00AC0A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0A56"/>
  </w:style>
  <w:style w:type="table" w:styleId="Tabelacomgrade">
    <w:name w:val="Table Grid"/>
    <w:basedOn w:val="Tabelanormal"/>
    <w:uiPriority w:val="39"/>
    <w:rsid w:val="00AC0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E1B9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E1B9D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145AD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145ADF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Corpodetexto3">
    <w:name w:val="Body Text 3"/>
    <w:basedOn w:val="Normal"/>
    <w:link w:val="Corpodetexto3Char"/>
    <w:rsid w:val="00145AD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rpodetexto3Char">
    <w:name w:val="Corpo de texto 3 Char"/>
    <w:basedOn w:val="Fontepargpadro"/>
    <w:link w:val="Corpodetexto3"/>
    <w:rsid w:val="00145ADF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39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46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reelogint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961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Amaro</dc:creator>
  <cp:keywords/>
  <dc:description/>
  <cp:lastModifiedBy>Mateus Santos</cp:lastModifiedBy>
  <cp:revision>4</cp:revision>
  <cp:lastPrinted>2024-08-28T17:38:00Z</cp:lastPrinted>
  <dcterms:created xsi:type="dcterms:W3CDTF">2025-07-18T14:58:00Z</dcterms:created>
  <dcterms:modified xsi:type="dcterms:W3CDTF">2026-03-09T20:37:00Z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121f2f0-66bc-46a5-8449-e93debbabc43_Enabled">
    <vt:lpwstr>true</vt:lpwstr>
  </property>
  <property fmtid="{D5CDD505-2E9C-101B-9397-08002B2CF9AE}" pid="3" name="MSIP_Label_8121f2f0-66bc-46a5-8449-e93debbabc43_SetDate">
    <vt:lpwstr>2024-10-14T18:28:01Z</vt:lpwstr>
  </property>
  <property fmtid="{D5CDD505-2E9C-101B-9397-08002B2CF9AE}" pid="4" name="MSIP_Label_8121f2f0-66bc-46a5-8449-e93debbabc43_Method">
    <vt:lpwstr>Standard</vt:lpwstr>
  </property>
  <property fmtid="{D5CDD505-2E9C-101B-9397-08002B2CF9AE}" pid="5" name="MSIP_Label_8121f2f0-66bc-46a5-8449-e93debbabc43_Name">
    <vt:lpwstr>defa4170-0d19-0005-0004-bc88714345d2</vt:lpwstr>
  </property>
  <property fmtid="{D5CDD505-2E9C-101B-9397-08002B2CF9AE}" pid="6" name="MSIP_Label_8121f2f0-66bc-46a5-8449-e93debbabc43_SiteId">
    <vt:lpwstr>2795008d-a527-4c78-ba2d-bf4c9c17de0b</vt:lpwstr>
  </property>
  <property fmtid="{D5CDD505-2E9C-101B-9397-08002B2CF9AE}" pid="7" name="MSIP_Label_8121f2f0-66bc-46a5-8449-e93debbabc43_ActionId">
    <vt:lpwstr>514ead43-8d97-4bf3-b603-eb38eb840afe</vt:lpwstr>
  </property>
  <property fmtid="{D5CDD505-2E9C-101B-9397-08002B2CF9AE}" pid="8" name="MSIP_Label_8121f2f0-66bc-46a5-8449-e93debbabc43_ContentBits">
    <vt:lpwstr>0</vt:lpwstr>
  </property>
</Properties>
</file>